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1D" w:rsidRPr="00795AB2" w:rsidRDefault="00EB4D1D" w:rsidP="00EB4D1D">
      <w:pPr>
        <w:tabs>
          <w:tab w:val="left" w:pos="4395"/>
        </w:tabs>
        <w:jc w:val="both"/>
        <w:rPr>
          <w:b/>
          <w:sz w:val="28"/>
        </w:rPr>
      </w:pPr>
    </w:p>
    <w:p w:rsidR="00EB4D1D" w:rsidRPr="00795AB2" w:rsidRDefault="00EB4D1D" w:rsidP="00EB4D1D">
      <w:pPr>
        <w:tabs>
          <w:tab w:val="left" w:pos="4395"/>
        </w:tabs>
        <w:jc w:val="center"/>
        <w:rPr>
          <w:b/>
          <w:sz w:val="28"/>
        </w:rPr>
      </w:pPr>
      <w:r>
        <w:rPr>
          <w:b/>
          <w:sz w:val="28"/>
        </w:rPr>
        <w:t>=========</w:t>
      </w:r>
      <w:r w:rsidRPr="00795AB2">
        <w:rPr>
          <w:b/>
          <w:sz w:val="28"/>
        </w:rPr>
        <w:t>=================================================</w:t>
      </w:r>
    </w:p>
    <w:p w:rsidR="00EB4D1D" w:rsidRPr="00795AB2" w:rsidRDefault="00EB4D1D" w:rsidP="00EB4D1D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Российская государственная библиотека для слепых</w:t>
      </w:r>
    </w:p>
    <w:p w:rsidR="00EB4D1D" w:rsidRPr="00795AB2" w:rsidRDefault="00EB4D1D" w:rsidP="00EB4D1D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=====</w:t>
      </w:r>
      <w:r>
        <w:rPr>
          <w:b/>
          <w:sz w:val="28"/>
        </w:rPr>
        <w:t>========</w:t>
      </w:r>
      <w:r w:rsidRPr="00795AB2">
        <w:rPr>
          <w:b/>
          <w:sz w:val="28"/>
        </w:rPr>
        <w:t>=============================================</w:t>
      </w:r>
    </w:p>
    <w:p w:rsidR="00EB4D1D" w:rsidRPr="00795AB2" w:rsidRDefault="00EB4D1D" w:rsidP="00EB4D1D">
      <w:pPr>
        <w:tabs>
          <w:tab w:val="left" w:pos="4395"/>
        </w:tabs>
        <w:jc w:val="center"/>
        <w:rPr>
          <w:b/>
        </w:rPr>
      </w:pPr>
    </w:p>
    <w:p w:rsidR="00EB4D1D" w:rsidRPr="00795AB2" w:rsidRDefault="00EB4D1D" w:rsidP="00EB4D1D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«ЭПОХА»</w:t>
      </w:r>
    </w:p>
    <w:p w:rsidR="00EB4D1D" w:rsidRPr="00795AB2" w:rsidRDefault="00EB4D1D" w:rsidP="00EB4D1D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Библиографический список</w:t>
      </w:r>
    </w:p>
    <w:p w:rsidR="00EB4D1D" w:rsidRPr="00795AB2" w:rsidRDefault="00EB4D1D" w:rsidP="00EB4D1D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к звуковому журналу</w:t>
      </w:r>
    </w:p>
    <w:p w:rsidR="00EB4D1D" w:rsidRPr="00795AB2" w:rsidRDefault="00EB4D1D" w:rsidP="00EB4D1D">
      <w:pPr>
        <w:tabs>
          <w:tab w:val="left" w:pos="4395"/>
        </w:tabs>
        <w:jc w:val="center"/>
        <w:rPr>
          <w:b/>
        </w:rPr>
      </w:pPr>
    </w:p>
    <w:p w:rsidR="00EB4D1D" w:rsidRPr="00795AB2" w:rsidRDefault="00EB4D1D" w:rsidP="00EB4D1D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2012</w:t>
      </w:r>
    </w:p>
    <w:p w:rsidR="00EB4D1D" w:rsidRPr="00795AB2" w:rsidRDefault="00EB4D1D" w:rsidP="00EB4D1D">
      <w:pPr>
        <w:tabs>
          <w:tab w:val="left" w:pos="4395"/>
        </w:tabs>
        <w:jc w:val="center"/>
        <w:rPr>
          <w:b/>
          <w:sz w:val="28"/>
        </w:rPr>
      </w:pPr>
      <w:r w:rsidRPr="00795AB2">
        <w:rPr>
          <w:b/>
          <w:sz w:val="28"/>
        </w:rPr>
        <w:t>ВЫП.8.</w:t>
      </w:r>
    </w:p>
    <w:p w:rsidR="00EB4D1D" w:rsidRPr="000A3A96" w:rsidRDefault="00EB4D1D" w:rsidP="00EB4D1D">
      <w:pPr>
        <w:pStyle w:val="1"/>
        <w:tabs>
          <w:tab w:val="left" w:pos="4395"/>
        </w:tabs>
        <w:jc w:val="center"/>
        <w:rPr>
          <w:rFonts w:ascii="Times New Roman" w:hAnsi="Times New Roman"/>
          <w:sz w:val="28"/>
        </w:rPr>
      </w:pPr>
      <w:r w:rsidRPr="000A3A96">
        <w:rPr>
          <w:rFonts w:ascii="Times New Roman" w:hAnsi="Times New Roman"/>
          <w:sz w:val="28"/>
        </w:rPr>
        <w:t>А В Г У С Т</w:t>
      </w:r>
    </w:p>
    <w:p w:rsidR="00EB4D1D" w:rsidRPr="000A3A96" w:rsidRDefault="00EB4D1D" w:rsidP="00EB4D1D">
      <w:pPr>
        <w:pStyle w:val="4"/>
        <w:tabs>
          <w:tab w:val="left" w:pos="4395"/>
        </w:tabs>
        <w:jc w:val="center"/>
        <w:rPr>
          <w:sz w:val="24"/>
        </w:rPr>
      </w:pPr>
      <w:r w:rsidRPr="000A3A96">
        <w:rPr>
          <w:sz w:val="24"/>
        </w:rPr>
        <w:t>ПРОБЛЕМЫ ДНЯ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 ПУТИН, Владимир. Россия и меняющийся мир// Эпоха. – 2012. – Вып.8. – Август. – </w:t>
      </w:r>
      <w:r w:rsidRPr="00795AB2">
        <w:rPr>
          <w:b/>
          <w:i/>
          <w:sz w:val="22"/>
          <w:szCs w:val="22"/>
        </w:rPr>
        <w:t xml:space="preserve">С изд.: </w:t>
      </w:r>
      <w:proofErr w:type="spellStart"/>
      <w:r w:rsidRPr="00795AB2">
        <w:rPr>
          <w:b/>
          <w:i/>
          <w:sz w:val="22"/>
          <w:szCs w:val="22"/>
        </w:rPr>
        <w:t>Моск</w:t>
      </w:r>
      <w:proofErr w:type="spellEnd"/>
      <w:r w:rsidRPr="00795AB2">
        <w:rPr>
          <w:b/>
          <w:i/>
          <w:sz w:val="22"/>
          <w:szCs w:val="22"/>
        </w:rPr>
        <w:t>. новости. – 2012. – 27 февраля. – С.1.</w:t>
      </w:r>
      <w:r w:rsidRPr="00795AB2">
        <w:rPr>
          <w:b/>
          <w:sz w:val="22"/>
          <w:szCs w:val="22"/>
        </w:rPr>
        <w:t xml:space="preserve">  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7-я предвыборная статья В.В. Путина, опубликованная им накануне президентских выборов в Российской Федерации (март 2012г.).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 Главки статьи: Кто подрывает доверие?; «Арабская весна»: уроки и выводы; Новые вызовы и угрозы; Повышение роли Азиатско-Тихоокеанского региона; Европейский фактор; Российско-американские дела; Экономическая дипломатия; Поддержка соотечественников и гуманитарное измерение. 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  <w:sz w:val="28"/>
        </w:rPr>
      </w:pPr>
      <w:r w:rsidRPr="00795AB2">
        <w:rPr>
          <w:b/>
          <w:sz w:val="28"/>
        </w:rPr>
        <w:t xml:space="preserve">                                                                                                                                             </w:t>
      </w:r>
    </w:p>
    <w:p w:rsidR="00EB4D1D" w:rsidRPr="00795AB2" w:rsidRDefault="00EB4D1D" w:rsidP="00EB4D1D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ЭКОНОМИКА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  ЦЫГАНКОВ, Ким. Роль двойной бухгалтерии в происхождении капитализма// Эпоха. – 2012. – Вып.8. – Август. – </w:t>
      </w:r>
      <w:r w:rsidRPr="00795AB2">
        <w:rPr>
          <w:b/>
          <w:i/>
          <w:sz w:val="22"/>
          <w:szCs w:val="22"/>
        </w:rPr>
        <w:t xml:space="preserve">С изд.: </w:t>
      </w:r>
      <w:proofErr w:type="spellStart"/>
      <w:r w:rsidRPr="00795AB2">
        <w:rPr>
          <w:b/>
          <w:i/>
          <w:sz w:val="22"/>
          <w:szCs w:val="22"/>
        </w:rPr>
        <w:t>Вопр</w:t>
      </w:r>
      <w:proofErr w:type="spellEnd"/>
      <w:r w:rsidRPr="00795AB2">
        <w:rPr>
          <w:b/>
          <w:i/>
          <w:sz w:val="22"/>
          <w:szCs w:val="22"/>
        </w:rPr>
        <w:t xml:space="preserve">. экономики. – 2012. – 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>- № 5. – С.101 – 115.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  Главки статьи: Особенности капитализма и факторы его проявления; Происхождение слова «капитал»: Римские цензы. - Цензоры древнего Рима.-  Капитализм в древнем Риме; Итальянское Возрождение; Происхождение бухгалтерского учета; Инвентарный метод исчисления капитала и прибыли.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  Автор – д-р </w:t>
      </w:r>
      <w:proofErr w:type="spellStart"/>
      <w:r w:rsidRPr="00795AB2">
        <w:rPr>
          <w:b/>
          <w:i/>
          <w:sz w:val="22"/>
          <w:szCs w:val="22"/>
        </w:rPr>
        <w:t>экон</w:t>
      </w:r>
      <w:proofErr w:type="spellEnd"/>
      <w:r w:rsidRPr="00795AB2">
        <w:rPr>
          <w:b/>
          <w:i/>
          <w:sz w:val="22"/>
          <w:szCs w:val="22"/>
        </w:rPr>
        <w:t xml:space="preserve">. наук, проф. кафедры бухгалтерского учета и аудита Сибирской академии финансов и банковского дела (Новосибирск). 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  <w:sz w:val="28"/>
        </w:rPr>
      </w:pPr>
      <w:r w:rsidRPr="00795AB2">
        <w:rPr>
          <w:b/>
          <w:sz w:val="28"/>
        </w:rPr>
        <w:t xml:space="preserve">                                                                                                     </w:t>
      </w:r>
    </w:p>
    <w:p w:rsidR="00EB4D1D" w:rsidRPr="00795AB2" w:rsidRDefault="00EB4D1D" w:rsidP="00EB4D1D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ИСТОРИЯ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   ПОЛЯКОВ, Юрий. Впервые в истории – год истории// Эпоха. – 2012. – Вып.8. – Август. – </w:t>
      </w:r>
      <w:r w:rsidRPr="00795AB2">
        <w:rPr>
          <w:b/>
          <w:i/>
          <w:sz w:val="22"/>
          <w:szCs w:val="22"/>
        </w:rPr>
        <w:t>С изд.: Родина. – 2011. - № 11. – С.3 – 6.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   В статье академика, доктора ист. наук. Ю.А. Полякова отмечается: «…2012 год объявлен годом российской  истории. Такого ещё в нашем прошлом не бывало. Но право, наша история такая драматическая, такая славная и такая противоречивая, заслуживает того, чтобы о ней слагали оды и пели песни, чтобы голубой экран не уставал, показывая её героев, чтобы молодёжь находила в ней примеры для подражания, а историческую науку перестали держать в Золушках государственного бюджета». Размышляя о роли истории в жизни общества, автор считает: «Немало политиков, обращающихся к урокам прошлого, </w:t>
      </w:r>
      <w:proofErr w:type="spellStart"/>
      <w:r w:rsidRPr="00795AB2">
        <w:rPr>
          <w:b/>
          <w:i/>
          <w:sz w:val="22"/>
          <w:szCs w:val="22"/>
        </w:rPr>
        <w:t>популистски</w:t>
      </w:r>
      <w:proofErr w:type="spellEnd"/>
      <w:r w:rsidRPr="00795AB2">
        <w:rPr>
          <w:b/>
          <w:i/>
          <w:sz w:val="22"/>
          <w:szCs w:val="22"/>
        </w:rPr>
        <w:t xml:space="preserve"> идеализируют народ, изображая его неизменно справедливым, мудрым, добрым. Но факты показывают склонность, способность, решительность «низов» к слому старого и несомненную слабость в создании нового». В свете этого «Год истории поможет понять, что магистральный путь науки – творческий, отбрасывающий обветшавшие догмы, старое двуцветное видение прошлого, стремящийся на основе объективного, всестороннего изучения документов познать всю многоцветность, всё многообразие прошлого, приблизиться к его адекватному отображению…» 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  <w:i/>
          <w:sz w:val="22"/>
          <w:szCs w:val="22"/>
        </w:rPr>
      </w:pPr>
    </w:p>
    <w:p w:rsidR="00EB4D1D" w:rsidRPr="00795AB2" w:rsidRDefault="00EB4D1D" w:rsidP="00EB4D1D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  <w:szCs w:val="22"/>
        </w:rPr>
        <w:lastRenderedPageBreak/>
        <w:t xml:space="preserve">                          СОРОКО-ЦЮПА, Андрей. История и время// Эпоха. – 2012. – Вып.8. – Август.- </w:t>
      </w:r>
      <w:r w:rsidRPr="00795AB2">
        <w:rPr>
          <w:b/>
          <w:i/>
          <w:sz w:val="22"/>
          <w:szCs w:val="22"/>
        </w:rPr>
        <w:t xml:space="preserve">С изд.: </w:t>
      </w:r>
      <w:proofErr w:type="spellStart"/>
      <w:r w:rsidRPr="00795AB2">
        <w:rPr>
          <w:b/>
          <w:i/>
          <w:sz w:val="22"/>
          <w:szCs w:val="22"/>
        </w:rPr>
        <w:t>Вопр</w:t>
      </w:r>
      <w:proofErr w:type="spellEnd"/>
      <w:r w:rsidRPr="00795AB2">
        <w:rPr>
          <w:b/>
          <w:i/>
          <w:sz w:val="22"/>
          <w:szCs w:val="22"/>
        </w:rPr>
        <w:t>. истории. – 2012. - № 5. – С.22 – 38.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   Рассматриваются существующие критерии деления истории на периоды, этапы, эпохи, связанные с войнами, революциями, сменой политических режимов и их лидеров. Автор – канд. ист. наук. </w:t>
      </w:r>
    </w:p>
    <w:p w:rsidR="00EB4D1D" w:rsidRPr="00795AB2" w:rsidRDefault="00EB4D1D" w:rsidP="00EB4D1D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КУЛЬТУРА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   ЧУДИНОВ, Анатолий. Россия в метафорическом зеркале// Эпоха. – 2012. – Вып.8. – Август. – </w:t>
      </w:r>
      <w:r w:rsidRPr="00795AB2">
        <w:rPr>
          <w:b/>
          <w:i/>
          <w:sz w:val="22"/>
          <w:szCs w:val="22"/>
        </w:rPr>
        <w:t>С изд.: Русская речь. – 2001. - № 1. – С.34 – 41; № 3. – С.31 – - 36; № 4. – С.42 - 48.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   «У каждого времени своя система метафор. Каждый новый этап социального развития страны отражается в метафорическом зеркале, где вне зависимости от чьих-либо намерений фиксируется подлинная картина общественного сознания. Система базисных метафор – это своего рода ключ к пониманию «духа времени».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   В первой статье рассмотрено характерное для современной агитационно-политической речи  метафорическое представление российской действительности как преступного мира, где нет места гуманистическим отношениям и невозможно жить честно, где политической власти и процветания добиваются только жулики и бандиты, живущие за счет «лохов».</w:t>
      </w:r>
      <w:r>
        <w:rPr>
          <w:b/>
          <w:i/>
          <w:sz w:val="22"/>
          <w:szCs w:val="22"/>
        </w:rPr>
        <w:t xml:space="preserve"> </w:t>
      </w:r>
      <w:r w:rsidRPr="00795AB2">
        <w:rPr>
          <w:b/>
          <w:i/>
          <w:sz w:val="22"/>
          <w:szCs w:val="22"/>
        </w:rPr>
        <w:t xml:space="preserve">Во второй статье - анализ метафорической модели «Современная Россия – это больной организм». В третьей статье – анализ  метафоры «Современная Россия – это военизированное общество».  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</w:rPr>
      </w:pPr>
      <w:r w:rsidRPr="00795AB2">
        <w:rPr>
          <w:b/>
        </w:rPr>
        <w:t xml:space="preserve">                                                                                                         </w:t>
      </w:r>
    </w:p>
    <w:p w:rsidR="00EB4D1D" w:rsidRPr="00795AB2" w:rsidRDefault="00EB4D1D" w:rsidP="00EB4D1D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ЗА РУБЕЖОМ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    МИРСКИЙ, Георгий. Ислам: история и современность// Эпоха. – 2012. – Вып.8. – Август. – </w:t>
      </w:r>
      <w:r w:rsidRPr="00795AB2">
        <w:rPr>
          <w:b/>
          <w:i/>
          <w:sz w:val="22"/>
          <w:szCs w:val="22"/>
        </w:rPr>
        <w:t xml:space="preserve">С изд.: Нов. и </w:t>
      </w:r>
      <w:proofErr w:type="spellStart"/>
      <w:r w:rsidRPr="00795AB2">
        <w:rPr>
          <w:b/>
          <w:i/>
          <w:sz w:val="22"/>
          <w:szCs w:val="22"/>
        </w:rPr>
        <w:t>новейш</w:t>
      </w:r>
      <w:proofErr w:type="spellEnd"/>
      <w:r w:rsidRPr="00795AB2">
        <w:rPr>
          <w:b/>
          <w:i/>
          <w:sz w:val="22"/>
          <w:szCs w:val="22"/>
        </w:rPr>
        <w:t>. история– 2010. - № 1. – С.3 – 20.</w:t>
      </w:r>
      <w:r w:rsidRPr="00795AB2">
        <w:rPr>
          <w:b/>
          <w:sz w:val="22"/>
          <w:szCs w:val="22"/>
        </w:rPr>
        <w:t xml:space="preserve"> 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   Главки статьи: Ислам и мусульманское сообщество; Ислам, исламизм, </w:t>
      </w:r>
      <w:proofErr w:type="spellStart"/>
      <w:r w:rsidRPr="00795AB2">
        <w:rPr>
          <w:b/>
          <w:i/>
          <w:sz w:val="22"/>
          <w:szCs w:val="22"/>
        </w:rPr>
        <w:t>джихадизм</w:t>
      </w:r>
      <w:proofErr w:type="spellEnd"/>
      <w:r w:rsidRPr="00795AB2">
        <w:rPr>
          <w:b/>
          <w:i/>
          <w:sz w:val="22"/>
          <w:szCs w:val="22"/>
        </w:rPr>
        <w:t>; Возрождение ислама?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   Автор – д-р ист. наук, проф., гл. </w:t>
      </w:r>
      <w:proofErr w:type="spellStart"/>
      <w:r w:rsidRPr="00795AB2">
        <w:rPr>
          <w:b/>
          <w:i/>
          <w:sz w:val="22"/>
          <w:szCs w:val="22"/>
        </w:rPr>
        <w:t>науч</w:t>
      </w:r>
      <w:proofErr w:type="spellEnd"/>
      <w:r w:rsidRPr="00795AB2">
        <w:rPr>
          <w:b/>
          <w:i/>
          <w:sz w:val="22"/>
          <w:szCs w:val="22"/>
        </w:rPr>
        <w:t xml:space="preserve">. сотрудник Института миров. экономики и </w:t>
      </w:r>
      <w:proofErr w:type="spellStart"/>
      <w:r w:rsidRPr="00795AB2">
        <w:rPr>
          <w:b/>
          <w:i/>
          <w:sz w:val="22"/>
          <w:szCs w:val="22"/>
        </w:rPr>
        <w:t>междунар</w:t>
      </w:r>
      <w:proofErr w:type="spellEnd"/>
      <w:r w:rsidRPr="00795AB2">
        <w:rPr>
          <w:b/>
          <w:i/>
          <w:sz w:val="22"/>
          <w:szCs w:val="22"/>
        </w:rPr>
        <w:t xml:space="preserve">. </w:t>
      </w:r>
      <w:proofErr w:type="spellStart"/>
      <w:r w:rsidRPr="00795AB2">
        <w:rPr>
          <w:b/>
          <w:i/>
          <w:sz w:val="22"/>
          <w:szCs w:val="22"/>
        </w:rPr>
        <w:t>отн</w:t>
      </w:r>
      <w:proofErr w:type="spellEnd"/>
      <w:r w:rsidRPr="00795AB2">
        <w:rPr>
          <w:b/>
          <w:i/>
          <w:sz w:val="22"/>
          <w:szCs w:val="22"/>
        </w:rPr>
        <w:t>. РАН.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</w:rPr>
      </w:pPr>
    </w:p>
    <w:p w:rsidR="00EB4D1D" w:rsidRPr="00795AB2" w:rsidRDefault="00EB4D1D" w:rsidP="00EB4D1D">
      <w:pPr>
        <w:tabs>
          <w:tab w:val="left" w:pos="4395"/>
        </w:tabs>
        <w:jc w:val="center"/>
        <w:rPr>
          <w:b/>
        </w:rPr>
      </w:pPr>
      <w:r w:rsidRPr="00795AB2">
        <w:rPr>
          <w:b/>
        </w:rPr>
        <w:t>ИСТОРИЧЕСКАЯ СМЕСЬ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    ЦВЕТКОВ, Сергей. Убитый и оболганный// Эпоха. – 2012. – Вып.8. – Август. - </w:t>
      </w:r>
      <w:r w:rsidRPr="00795AB2">
        <w:rPr>
          <w:b/>
          <w:i/>
          <w:sz w:val="22"/>
          <w:szCs w:val="22"/>
        </w:rPr>
        <w:t>С изд.: Москва. – 2012. - № 5. – С.191 – 197.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   В случае с императором Павлом </w:t>
      </w:r>
      <w:r w:rsidRPr="00795AB2">
        <w:rPr>
          <w:b/>
          <w:i/>
          <w:sz w:val="22"/>
          <w:szCs w:val="22"/>
          <w:lang w:val="en-US"/>
        </w:rPr>
        <w:t>I</w:t>
      </w:r>
      <w:r w:rsidRPr="00795AB2">
        <w:rPr>
          <w:b/>
          <w:i/>
          <w:sz w:val="22"/>
          <w:szCs w:val="22"/>
        </w:rPr>
        <w:t xml:space="preserve"> (1754 – 1801) мы продолжаем судить о нём на основании мемуаров его убийц –  гвардейских офицеров, и их сообщника – </w:t>
      </w:r>
      <w:r>
        <w:rPr>
          <w:b/>
          <w:i/>
          <w:sz w:val="22"/>
          <w:szCs w:val="22"/>
        </w:rPr>
        <w:t>рус</w:t>
      </w:r>
      <w:r w:rsidRPr="00795AB2">
        <w:rPr>
          <w:b/>
          <w:i/>
          <w:sz w:val="22"/>
          <w:szCs w:val="22"/>
        </w:rPr>
        <w:t xml:space="preserve">ского дворянства. Автор предлагает свою оценку характера, жизни и  деятельности Павла </w:t>
      </w:r>
      <w:r w:rsidRPr="00795AB2">
        <w:rPr>
          <w:b/>
          <w:i/>
          <w:sz w:val="22"/>
          <w:szCs w:val="22"/>
          <w:lang w:val="en-US"/>
        </w:rPr>
        <w:t>I</w:t>
      </w:r>
      <w:r w:rsidRPr="00795AB2">
        <w:rPr>
          <w:b/>
          <w:i/>
          <w:sz w:val="22"/>
          <w:szCs w:val="22"/>
        </w:rPr>
        <w:t>.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  <w:sz w:val="22"/>
          <w:szCs w:val="22"/>
        </w:rPr>
      </w:pPr>
    </w:p>
    <w:p w:rsidR="00EB4D1D" w:rsidRPr="00795AB2" w:rsidRDefault="00EB4D1D" w:rsidP="00EB4D1D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sz w:val="22"/>
          <w:szCs w:val="22"/>
        </w:rPr>
        <w:t xml:space="preserve">                            ГЕТКА-КЕНИГ, </w:t>
      </w:r>
      <w:proofErr w:type="spellStart"/>
      <w:r w:rsidRPr="00795AB2">
        <w:rPr>
          <w:b/>
          <w:sz w:val="22"/>
          <w:szCs w:val="22"/>
        </w:rPr>
        <w:t>Миколай</w:t>
      </w:r>
      <w:proofErr w:type="spellEnd"/>
      <w:r w:rsidRPr="00795AB2">
        <w:rPr>
          <w:b/>
          <w:sz w:val="22"/>
          <w:szCs w:val="22"/>
        </w:rPr>
        <w:t xml:space="preserve">. Александр </w:t>
      </w:r>
      <w:r w:rsidRPr="00795AB2">
        <w:rPr>
          <w:b/>
          <w:sz w:val="22"/>
          <w:szCs w:val="22"/>
          <w:lang w:val="en-US"/>
        </w:rPr>
        <w:t>I</w:t>
      </w:r>
      <w:r w:rsidRPr="00795AB2">
        <w:rPr>
          <w:b/>
          <w:sz w:val="22"/>
          <w:szCs w:val="22"/>
        </w:rPr>
        <w:t xml:space="preserve"> и поляки: история мифа «воскресителя отечества» // Эпоха. – 2012. – Вып.8. – Август. – </w:t>
      </w:r>
      <w:r w:rsidRPr="00795AB2">
        <w:rPr>
          <w:b/>
          <w:i/>
          <w:sz w:val="22"/>
          <w:szCs w:val="22"/>
        </w:rPr>
        <w:t>С изд.: Нов. Польша. – 2012. – № 3. – С.7 – 10.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                            Среди русских царей, считающихся отрицательными героями польской истории и культуры, особняком стоит фигура императора Александра </w:t>
      </w:r>
      <w:r w:rsidRPr="00795AB2">
        <w:rPr>
          <w:b/>
          <w:i/>
          <w:sz w:val="22"/>
          <w:szCs w:val="22"/>
          <w:lang w:val="en-US"/>
        </w:rPr>
        <w:t>I</w:t>
      </w:r>
      <w:r w:rsidRPr="00795AB2">
        <w:rPr>
          <w:b/>
          <w:i/>
          <w:sz w:val="22"/>
          <w:szCs w:val="22"/>
        </w:rPr>
        <w:t xml:space="preserve"> (1801 – 1825), создателя Царства (по-польски Королевства) Польского и его монарха с 1815г.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  <w:i/>
          <w:sz w:val="22"/>
          <w:szCs w:val="22"/>
        </w:rPr>
      </w:pPr>
      <w:r w:rsidRPr="00795AB2">
        <w:rPr>
          <w:b/>
          <w:i/>
          <w:sz w:val="22"/>
          <w:szCs w:val="22"/>
        </w:rPr>
        <w:t xml:space="preserve">«Характерная расплывчатость, с которой современные поляки (не только историки) подходят к его личности, представляет собой до известной степени наследием дилемм наших собственных предков, двести лет назад живших под скипетром «воскресителя отечества», - отмечает автор. </w:t>
      </w:r>
    </w:p>
    <w:p w:rsidR="00EB4D1D" w:rsidRPr="00795AB2" w:rsidRDefault="00EB4D1D" w:rsidP="00EB4D1D">
      <w:pPr>
        <w:tabs>
          <w:tab w:val="left" w:pos="4395"/>
        </w:tabs>
        <w:jc w:val="both"/>
        <w:rPr>
          <w:b/>
        </w:rPr>
      </w:pPr>
      <w:r>
        <w:rPr>
          <w:b/>
          <w:i/>
          <w:sz w:val="22"/>
          <w:szCs w:val="22"/>
        </w:rPr>
        <w:t xml:space="preserve">                             </w:t>
      </w:r>
      <w:r w:rsidRPr="00795AB2">
        <w:rPr>
          <w:b/>
          <w:i/>
          <w:sz w:val="22"/>
          <w:szCs w:val="22"/>
        </w:rPr>
        <w:t xml:space="preserve">Главки статьи: У источников взаимных связей; «Воскреситель» в момент «воскрешения»; Десятилетие </w:t>
      </w:r>
      <w:proofErr w:type="spellStart"/>
      <w:r w:rsidRPr="00795AB2">
        <w:rPr>
          <w:b/>
          <w:i/>
          <w:sz w:val="22"/>
          <w:szCs w:val="22"/>
        </w:rPr>
        <w:t>александровского</w:t>
      </w:r>
      <w:proofErr w:type="spellEnd"/>
      <w:r w:rsidRPr="00795AB2">
        <w:rPr>
          <w:b/>
          <w:i/>
          <w:sz w:val="22"/>
          <w:szCs w:val="22"/>
        </w:rPr>
        <w:t xml:space="preserve">  мифа; Новое поколение, новые представления, новые мифы. </w:t>
      </w:r>
      <w:r w:rsidRPr="00795AB2">
        <w:rPr>
          <w:b/>
        </w:rPr>
        <w:t xml:space="preserve">                                                                 </w:t>
      </w:r>
    </w:p>
    <w:p w:rsidR="00EB4D1D" w:rsidRPr="00795AB2" w:rsidRDefault="00EB4D1D" w:rsidP="00EB4D1D">
      <w:pPr>
        <w:jc w:val="both"/>
        <w:rPr>
          <w:b/>
          <w:i/>
          <w:sz w:val="22"/>
        </w:rPr>
      </w:pPr>
    </w:p>
    <w:p w:rsidR="00EB4D1D" w:rsidRPr="00194233" w:rsidRDefault="00EB4D1D" w:rsidP="00EB4D1D">
      <w:pPr>
        <w:pStyle w:val="2"/>
        <w:jc w:val="both"/>
        <w:rPr>
          <w:rFonts w:ascii="Times New Roman" w:hAnsi="Times New Roman"/>
          <w:i w:val="0"/>
          <w:sz w:val="22"/>
        </w:rPr>
      </w:pPr>
      <w:r w:rsidRPr="00194233">
        <w:rPr>
          <w:rFonts w:ascii="Times New Roman" w:hAnsi="Times New Roman"/>
          <w:i w:val="0"/>
          <w:sz w:val="22"/>
        </w:rPr>
        <w:t xml:space="preserve">       Звуковой журнал</w:t>
      </w:r>
    </w:p>
    <w:p w:rsidR="00EB4D1D" w:rsidRPr="00194233" w:rsidRDefault="00EB4D1D" w:rsidP="00EB4D1D">
      <w:pPr>
        <w:ind w:left="360"/>
        <w:jc w:val="both"/>
        <w:rPr>
          <w:b/>
          <w:sz w:val="22"/>
        </w:rPr>
      </w:pPr>
      <w:r w:rsidRPr="00194233">
        <w:rPr>
          <w:b/>
          <w:sz w:val="22"/>
        </w:rPr>
        <w:t xml:space="preserve">       «Эпоха»</w:t>
      </w:r>
    </w:p>
    <w:p w:rsidR="00EB4D1D" w:rsidRPr="00194233" w:rsidRDefault="00EB4D1D" w:rsidP="00EB4D1D">
      <w:pPr>
        <w:ind w:left="360"/>
        <w:jc w:val="both"/>
        <w:rPr>
          <w:b/>
          <w:sz w:val="22"/>
        </w:rPr>
      </w:pPr>
      <w:r w:rsidRPr="00194233">
        <w:rPr>
          <w:b/>
          <w:sz w:val="22"/>
        </w:rPr>
        <w:t xml:space="preserve">выходит в записи </w:t>
      </w:r>
    </w:p>
    <w:p w:rsidR="00EB4D1D" w:rsidRPr="00194233" w:rsidRDefault="00EB4D1D" w:rsidP="00EB4D1D">
      <w:pPr>
        <w:ind w:left="360"/>
        <w:jc w:val="both"/>
        <w:rPr>
          <w:b/>
          <w:sz w:val="22"/>
        </w:rPr>
      </w:pPr>
      <w:r w:rsidRPr="00194233">
        <w:rPr>
          <w:b/>
          <w:sz w:val="22"/>
        </w:rPr>
        <w:t xml:space="preserve">      на кассетах</w:t>
      </w:r>
    </w:p>
    <w:p w:rsidR="00EB4D1D" w:rsidRPr="00194233" w:rsidRDefault="00EB4D1D" w:rsidP="00EB4D1D">
      <w:pPr>
        <w:ind w:left="360"/>
        <w:jc w:val="both"/>
        <w:rPr>
          <w:b/>
          <w:sz w:val="22"/>
        </w:rPr>
      </w:pPr>
      <w:r w:rsidRPr="00194233">
        <w:rPr>
          <w:b/>
          <w:sz w:val="22"/>
        </w:rPr>
        <w:t>в ИПТК «ЛОГОСВОС»</w:t>
      </w:r>
    </w:p>
    <w:p w:rsidR="00EB4D1D" w:rsidRPr="00194233" w:rsidRDefault="00EB4D1D" w:rsidP="00EB4D1D">
      <w:pPr>
        <w:ind w:left="360"/>
        <w:jc w:val="both"/>
        <w:rPr>
          <w:b/>
          <w:sz w:val="22"/>
        </w:rPr>
      </w:pPr>
      <w:r w:rsidRPr="00194233">
        <w:rPr>
          <w:b/>
          <w:sz w:val="22"/>
        </w:rPr>
        <w:lastRenderedPageBreak/>
        <w:t xml:space="preserve">          с 1989г.   </w:t>
      </w:r>
    </w:p>
    <w:p w:rsidR="00EB4D1D" w:rsidRPr="00194233" w:rsidRDefault="00EB4D1D" w:rsidP="00EB4D1D">
      <w:pPr>
        <w:ind w:left="360"/>
        <w:jc w:val="both"/>
        <w:rPr>
          <w:b/>
          <w:sz w:val="22"/>
        </w:rPr>
      </w:pPr>
    </w:p>
    <w:p w:rsidR="00EB4D1D" w:rsidRPr="00194233" w:rsidRDefault="00EB4D1D" w:rsidP="00EB4D1D">
      <w:pPr>
        <w:ind w:left="360"/>
        <w:jc w:val="both"/>
        <w:rPr>
          <w:b/>
          <w:sz w:val="22"/>
        </w:rPr>
      </w:pPr>
      <w:r w:rsidRPr="00194233">
        <w:rPr>
          <w:b/>
          <w:sz w:val="22"/>
        </w:rPr>
        <w:t xml:space="preserve">                                                                               Составитель С.Жуков</w:t>
      </w:r>
    </w:p>
    <w:p w:rsidR="00EB4D1D" w:rsidRDefault="00EB4D1D" w:rsidP="00EB4D1D">
      <w:pPr>
        <w:ind w:left="360"/>
        <w:jc w:val="both"/>
        <w:rPr>
          <w:b/>
          <w:sz w:val="22"/>
        </w:rPr>
      </w:pPr>
    </w:p>
    <w:p w:rsidR="00762B6A" w:rsidRDefault="00EB4D1D"/>
    <w:sectPr w:rsidR="00762B6A" w:rsidSect="0053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EB4D1D"/>
    <w:rsid w:val="00533C65"/>
    <w:rsid w:val="00BA293F"/>
    <w:rsid w:val="00CB057F"/>
    <w:rsid w:val="00EB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D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4D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B4D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D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4D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B4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EB4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redactor606</dc:creator>
  <cp:keywords/>
  <dc:description/>
  <cp:lastModifiedBy>redactor606</cp:lastModifiedBy>
  <cp:revision>2</cp:revision>
  <dcterms:created xsi:type="dcterms:W3CDTF">2013-04-17T07:35:00Z</dcterms:created>
  <dcterms:modified xsi:type="dcterms:W3CDTF">2013-04-17T07:36:00Z</dcterms:modified>
</cp:coreProperties>
</file>